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7F" w:rsidRDefault="006210AD" w:rsidP="00636506">
      <w:pPr>
        <w:pStyle w:val="CorpsA"/>
        <w:jc w:val="center"/>
        <w:rPr>
          <w:b/>
          <w:bCs/>
          <w:sz w:val="22"/>
          <w:szCs w:val="22"/>
        </w:rPr>
      </w:pPr>
      <w:r>
        <w:rPr>
          <w:b/>
          <w:bCs/>
          <w:sz w:val="22"/>
          <w:szCs w:val="22"/>
        </w:rPr>
        <w:t xml:space="preserve">CELEBRATION DE LA </w:t>
      </w:r>
      <w:r w:rsidRPr="006210AD">
        <w:rPr>
          <w:b/>
          <w:bCs/>
          <w:sz w:val="22"/>
          <w:szCs w:val="22"/>
        </w:rPr>
        <w:t>JOURNEE DES TELECOMMUNICATIONS ET DE LA SOCIETE DE L'INFORMATION</w:t>
      </w:r>
      <w:r>
        <w:rPr>
          <w:b/>
          <w:bCs/>
          <w:sz w:val="22"/>
          <w:szCs w:val="22"/>
        </w:rPr>
        <w:t xml:space="preserve"> SUR LE THEME</w:t>
      </w:r>
      <w:r w:rsidRPr="006210AD">
        <w:rPr>
          <w:b/>
          <w:bCs/>
          <w:sz w:val="22"/>
          <w:szCs w:val="22"/>
        </w:rPr>
        <w:t xml:space="preserve"> « LES MEGADONNEES POUR UN MEGA-IMPACT</w:t>
      </w:r>
      <w:r>
        <w:rPr>
          <w:b/>
          <w:bCs/>
          <w:sz w:val="22"/>
          <w:szCs w:val="22"/>
        </w:rPr>
        <w:t> »</w:t>
      </w:r>
    </w:p>
    <w:p w:rsidR="00D1577F" w:rsidRDefault="00D1577F">
      <w:pPr>
        <w:pStyle w:val="CorpsA"/>
        <w:jc w:val="both"/>
        <w:rPr>
          <w:b/>
          <w:bCs/>
          <w:sz w:val="22"/>
          <w:szCs w:val="22"/>
        </w:rPr>
      </w:pPr>
    </w:p>
    <w:p w:rsidR="00D1577F" w:rsidRDefault="00F71217">
      <w:pPr>
        <w:pStyle w:val="CorpsA"/>
        <w:jc w:val="both"/>
      </w:pPr>
      <w:r>
        <w:rPr>
          <w:rFonts w:ascii="Times New Roman"/>
          <w:b/>
          <w:bCs/>
        </w:rPr>
        <w:t>Lom</w:t>
      </w:r>
      <w:r>
        <w:rPr>
          <w:rFonts w:hAnsi="Times New Roman"/>
          <w:b/>
          <w:bCs/>
        </w:rPr>
        <w:t>é</w:t>
      </w:r>
      <w:r>
        <w:rPr>
          <w:rFonts w:ascii="Times New Roman"/>
          <w:b/>
          <w:bCs/>
        </w:rPr>
        <w:t xml:space="preserve">, le </w:t>
      </w:r>
      <w:r w:rsidR="006210AD">
        <w:rPr>
          <w:rFonts w:ascii="Times New Roman"/>
          <w:b/>
          <w:bCs/>
        </w:rPr>
        <w:t>17</w:t>
      </w:r>
      <w:r>
        <w:rPr>
          <w:rFonts w:ascii="Times New Roman"/>
          <w:b/>
          <w:bCs/>
        </w:rPr>
        <w:t xml:space="preserve"> Mai 2017 - </w:t>
      </w:r>
      <w:r>
        <w:rPr>
          <w:rFonts w:ascii="Times New Roman"/>
        </w:rPr>
        <w:t>Le Minist</w:t>
      </w:r>
      <w:r>
        <w:rPr>
          <w:rFonts w:hAnsi="Times New Roman"/>
        </w:rPr>
        <w:t>è</w:t>
      </w:r>
      <w:r>
        <w:rPr>
          <w:rFonts w:ascii="Times New Roman"/>
        </w:rPr>
        <w:t>re des Postes et de l</w:t>
      </w:r>
      <w:r>
        <w:rPr>
          <w:rFonts w:hAnsi="Times New Roman"/>
        </w:rPr>
        <w:t>’É</w:t>
      </w:r>
      <w:r>
        <w:rPr>
          <w:rFonts w:ascii="Times New Roman"/>
        </w:rPr>
        <w:t>conomie Num</w:t>
      </w:r>
      <w:r>
        <w:rPr>
          <w:rFonts w:hAnsi="Times New Roman"/>
        </w:rPr>
        <w:t>é</w:t>
      </w:r>
      <w:r w:rsidR="006210AD">
        <w:rPr>
          <w:rFonts w:ascii="Times New Roman"/>
        </w:rPr>
        <w:t>rique et l</w:t>
      </w:r>
      <w:r w:rsidR="006210AD">
        <w:rPr>
          <w:rFonts w:ascii="Times New Roman"/>
        </w:rPr>
        <w:t>’</w:t>
      </w:r>
      <w:r w:rsidR="006210AD">
        <w:rPr>
          <w:rFonts w:ascii="Times New Roman"/>
        </w:rPr>
        <w:t>Autorit</w:t>
      </w:r>
      <w:r w:rsidR="006210AD">
        <w:rPr>
          <w:rFonts w:ascii="Times New Roman"/>
        </w:rPr>
        <w:t>é</w:t>
      </w:r>
      <w:r w:rsidR="006210AD">
        <w:rPr>
          <w:rFonts w:ascii="Times New Roman"/>
        </w:rPr>
        <w:t xml:space="preserve"> de R</w:t>
      </w:r>
      <w:r w:rsidR="006210AD">
        <w:rPr>
          <w:rFonts w:ascii="Times New Roman"/>
        </w:rPr>
        <w:t>é</w:t>
      </w:r>
      <w:r w:rsidR="006210AD">
        <w:rPr>
          <w:rFonts w:ascii="Times New Roman"/>
        </w:rPr>
        <w:t>gulation (l</w:t>
      </w:r>
      <w:r w:rsidR="006210AD">
        <w:rPr>
          <w:rFonts w:ascii="Times New Roman"/>
        </w:rPr>
        <w:t>’</w:t>
      </w:r>
      <w:r w:rsidR="006210AD">
        <w:rPr>
          <w:rFonts w:ascii="Times New Roman"/>
        </w:rPr>
        <w:t xml:space="preserve">ART&amp;P) mettent </w:t>
      </w:r>
      <w:r w:rsidR="006210AD">
        <w:rPr>
          <w:rFonts w:ascii="Times New Roman"/>
        </w:rPr>
        <w:t>à</w:t>
      </w:r>
      <w:r w:rsidR="006210AD">
        <w:rPr>
          <w:rFonts w:ascii="Times New Roman"/>
        </w:rPr>
        <w:t xml:space="preserve"> l</w:t>
      </w:r>
      <w:r w:rsidR="006210AD">
        <w:rPr>
          <w:rFonts w:ascii="Times New Roman"/>
        </w:rPr>
        <w:t>’</w:t>
      </w:r>
      <w:r w:rsidR="006210AD">
        <w:rPr>
          <w:rFonts w:ascii="Times New Roman"/>
        </w:rPr>
        <w:t>honneur en cette journ</w:t>
      </w:r>
      <w:r w:rsidR="006210AD">
        <w:rPr>
          <w:rFonts w:ascii="Times New Roman"/>
        </w:rPr>
        <w:t>é</w:t>
      </w:r>
      <w:r w:rsidR="006210AD">
        <w:rPr>
          <w:rFonts w:ascii="Times New Roman"/>
        </w:rPr>
        <w:t>e les t</w:t>
      </w:r>
      <w:r w:rsidR="006210AD">
        <w:rPr>
          <w:rFonts w:ascii="Times New Roman"/>
        </w:rPr>
        <w:t>é</w:t>
      </w:r>
      <w:r w:rsidR="006210AD">
        <w:rPr>
          <w:rFonts w:ascii="Times New Roman"/>
        </w:rPr>
        <w:t>l</w:t>
      </w:r>
      <w:r w:rsidR="006210AD">
        <w:rPr>
          <w:rFonts w:ascii="Times New Roman"/>
        </w:rPr>
        <w:t>é</w:t>
      </w:r>
      <w:r w:rsidR="006210AD">
        <w:rPr>
          <w:rFonts w:ascii="Times New Roman"/>
        </w:rPr>
        <w:t>communications et la soci</w:t>
      </w:r>
      <w:r w:rsidR="006210AD">
        <w:rPr>
          <w:rFonts w:ascii="Times New Roman"/>
        </w:rPr>
        <w:t>é</w:t>
      </w:r>
      <w:r w:rsidR="006210AD">
        <w:rPr>
          <w:rFonts w:ascii="Times New Roman"/>
        </w:rPr>
        <w:t>t</w:t>
      </w:r>
      <w:r w:rsidR="006210AD">
        <w:rPr>
          <w:rFonts w:ascii="Times New Roman"/>
        </w:rPr>
        <w:t>é</w:t>
      </w:r>
      <w:r w:rsidR="006210AD">
        <w:rPr>
          <w:rFonts w:ascii="Times New Roman"/>
        </w:rPr>
        <w:t xml:space="preserve"> de l</w:t>
      </w:r>
      <w:r w:rsidR="006210AD">
        <w:rPr>
          <w:rFonts w:ascii="Times New Roman"/>
        </w:rPr>
        <w:t>’</w:t>
      </w:r>
      <w:r w:rsidR="006210AD">
        <w:rPr>
          <w:rFonts w:ascii="Times New Roman"/>
        </w:rPr>
        <w:t>information.</w:t>
      </w:r>
    </w:p>
    <w:p w:rsidR="00D1577F" w:rsidRDefault="00D1577F">
      <w:pPr>
        <w:pStyle w:val="CorpsA"/>
        <w:jc w:val="both"/>
      </w:pPr>
    </w:p>
    <w:p w:rsidR="006210AD" w:rsidRDefault="006210AD" w:rsidP="006210AD">
      <w:pPr>
        <w:pStyle w:val="CorpsA"/>
        <w:jc w:val="both"/>
      </w:pPr>
      <w:r>
        <w:t>La journée mondiale des télécommunications et de la société de l’information (JMTSI), est instaurée par l’Union Internationale des Télécommunications (UIT), Institution spécialisée de l’ONU, créée depuis le 17 mai 1885. Le concept de la célébration de cette date anniversaire a été revu en novembre 2006, lors de la Conférence des plénipotentiaires de l'UIT, tenue à Antalya (Turquie). La célébration</w:t>
      </w:r>
      <w:r w:rsidR="0091531C">
        <w:t xml:space="preserve"> de cette journée  a pour but : </w:t>
      </w:r>
      <w:r>
        <w:t>d’encourager la réflexion et les échanges d'idées sur le thème adopté par le Conseil de l’UIT</w:t>
      </w:r>
      <w:r w:rsidR="0091531C">
        <w:t xml:space="preserve">, </w:t>
      </w:r>
      <w:r>
        <w:t>de débattre avec tous les partenaires de la sociét</w:t>
      </w:r>
      <w:r w:rsidR="0091531C">
        <w:t xml:space="preserve">é des divers aspects du thème et enfin, </w:t>
      </w:r>
      <w:r>
        <w:t>d’élaborer un rapport rendant compte des débats nationaux sur les différents aspects du thème, qui sera communiqué à l'UIT et à l'ensemble de ses membres.</w:t>
      </w:r>
    </w:p>
    <w:p w:rsidR="006210AD" w:rsidRDefault="006210AD" w:rsidP="006210AD">
      <w:pPr>
        <w:pStyle w:val="CorpsA"/>
        <w:jc w:val="both"/>
      </w:pPr>
    </w:p>
    <w:p w:rsidR="006210AD" w:rsidRDefault="006210AD" w:rsidP="006210AD">
      <w:pPr>
        <w:pStyle w:val="CorpsA"/>
        <w:jc w:val="both"/>
      </w:pPr>
      <w:r w:rsidRPr="006210AD">
        <w:t xml:space="preserve">Le thème de l'édition 2017 </w:t>
      </w:r>
      <w:r>
        <w:t>de la JMTSI concerne l</w:t>
      </w:r>
      <w:r w:rsidRPr="006210AD">
        <w:t>es en</w:t>
      </w:r>
      <w:r>
        <w:t xml:space="preserve">jeux des données : « Les </w:t>
      </w:r>
      <w:proofErr w:type="spellStart"/>
      <w:r>
        <w:t>mégadonnées</w:t>
      </w:r>
      <w:proofErr w:type="spellEnd"/>
      <w:r>
        <w:t xml:space="preserve"> pour un méga-impact ».</w:t>
      </w:r>
    </w:p>
    <w:p w:rsidR="006210AD" w:rsidRDefault="006210AD" w:rsidP="006210AD">
      <w:pPr>
        <w:pStyle w:val="CorpsA"/>
        <w:jc w:val="both"/>
      </w:pPr>
    </w:p>
    <w:p w:rsidR="006210AD" w:rsidRDefault="006210AD" w:rsidP="006210AD">
      <w:pPr>
        <w:pStyle w:val="CorpsA"/>
        <w:jc w:val="both"/>
      </w:pPr>
      <w:r>
        <w:t xml:space="preserve">Selon </w:t>
      </w:r>
      <w:r>
        <w:t>l’UIT</w:t>
      </w:r>
      <w:r>
        <w:t xml:space="preserve">, il s’agit, par ce thème, mettre l'accent sur le potentiel des </w:t>
      </w:r>
      <w:proofErr w:type="spellStart"/>
      <w:r>
        <w:t>mégadonnées</w:t>
      </w:r>
      <w:proofErr w:type="spellEnd"/>
      <w:r>
        <w:t xml:space="preserve"> au service du développement, l'objectif </w:t>
      </w:r>
      <w:r w:rsidR="003D5BF5">
        <w:t>est</w:t>
      </w:r>
      <w:r>
        <w:t xml:space="preserve"> d'étudier comment transformer des données imparfaites, complexes et souvent non structurées en informations exploitables au service du développement.</w:t>
      </w:r>
    </w:p>
    <w:p w:rsidR="006210AD" w:rsidRDefault="006210AD" w:rsidP="006210AD">
      <w:pPr>
        <w:pStyle w:val="CorpsA"/>
        <w:jc w:val="both"/>
      </w:pPr>
    </w:p>
    <w:p w:rsidR="006210AD" w:rsidRDefault="006210AD" w:rsidP="006210AD">
      <w:pPr>
        <w:pStyle w:val="CorpsA"/>
        <w:jc w:val="both"/>
      </w:pPr>
      <w:r>
        <w:t>L</w:t>
      </w:r>
      <w:r>
        <w:t>es</w:t>
      </w:r>
      <w:r>
        <w:t xml:space="preserve"> </w:t>
      </w:r>
      <w:proofErr w:type="spellStart"/>
      <w:r>
        <w:t>mégadonnées</w:t>
      </w:r>
      <w:proofErr w:type="spellEnd"/>
      <w:r>
        <w:t>, aussi connues sous le terme</w:t>
      </w:r>
      <w:r>
        <w:t xml:space="preserve"> </w:t>
      </w:r>
      <w:r>
        <w:t>« </w:t>
      </w:r>
      <w:proofErr w:type="spellStart"/>
      <w:r>
        <w:t>big</w:t>
      </w:r>
      <w:proofErr w:type="spellEnd"/>
      <w:r>
        <w:t xml:space="preserve"> data</w:t>
      </w:r>
      <w:r>
        <w:t> »</w:t>
      </w:r>
      <w:r>
        <w:t xml:space="preserve"> </w:t>
      </w:r>
      <w:r>
        <w:t xml:space="preserve">se définissent comme </w:t>
      </w:r>
      <w:r>
        <w:t xml:space="preserve">l’ensemble de données informatiques </w:t>
      </w:r>
      <w:r>
        <w:t xml:space="preserve">générées ainsi que </w:t>
      </w:r>
      <w:r>
        <w:t>l’ensemble des technologies et des pratiques ayant pour objectif de stocker de très grandes masses de données et à les analyser très rapidement.</w:t>
      </w:r>
    </w:p>
    <w:p w:rsidR="006210AD" w:rsidRDefault="001B5526" w:rsidP="006210AD">
      <w:pPr>
        <w:pStyle w:val="CorpsA"/>
        <w:jc w:val="both"/>
      </w:pPr>
      <w:r>
        <w:t>L</w:t>
      </w:r>
      <w:r w:rsidR="006210AD">
        <w:t xml:space="preserve">’encadrement et l’exploitation des </w:t>
      </w:r>
      <w:proofErr w:type="spellStart"/>
      <w:r w:rsidR="006210AD">
        <w:t>mégadonnées</w:t>
      </w:r>
      <w:proofErr w:type="spellEnd"/>
      <w:r w:rsidR="006210AD">
        <w:t xml:space="preserve"> est au cœur d</w:t>
      </w:r>
      <w:r w:rsidR="006210AD">
        <w:t xml:space="preserve">es préoccupations </w:t>
      </w:r>
      <w:r>
        <w:t xml:space="preserve">actuelles </w:t>
      </w:r>
      <w:r w:rsidR="006210AD">
        <w:t xml:space="preserve">des </w:t>
      </w:r>
      <w:r w:rsidR="003D5BF5">
        <w:t xml:space="preserve">différents </w:t>
      </w:r>
      <w:r w:rsidR="006210AD">
        <w:t>acteurs</w:t>
      </w:r>
      <w:r w:rsidR="003D5BF5">
        <w:t xml:space="preserve">. En effet, l’important volume de données générées quotidiennement à l’insu des usagers, </w:t>
      </w:r>
      <w:r w:rsidR="003E4A29">
        <w:t xml:space="preserve">constitue une véritable mine d’or. Pas un jour ne passe, sans </w:t>
      </w:r>
      <w:r w:rsidR="003D5BF5">
        <w:t>qu</w:t>
      </w:r>
      <w:r w:rsidR="003E4A29">
        <w:t xml:space="preserve">’un scandale numérique en lien avec l’espionnage numérique, </w:t>
      </w:r>
      <w:r w:rsidR="003D5BF5">
        <w:t xml:space="preserve">la </w:t>
      </w:r>
      <w:r w:rsidR="003E4A29">
        <w:t xml:space="preserve">question de la </w:t>
      </w:r>
      <w:r w:rsidR="003D5BF5">
        <w:t>protection des données et le respect de la vie privée</w:t>
      </w:r>
      <w:r w:rsidR="003E4A29">
        <w:t xml:space="preserve">, n’éclate. </w:t>
      </w:r>
    </w:p>
    <w:p w:rsidR="003D5BF5" w:rsidRDefault="003D5BF5" w:rsidP="006210AD">
      <w:pPr>
        <w:pStyle w:val="CorpsA"/>
        <w:jc w:val="both"/>
      </w:pPr>
    </w:p>
    <w:p w:rsidR="003D5BF5" w:rsidRDefault="003D5BF5" w:rsidP="006210AD">
      <w:pPr>
        <w:pStyle w:val="CorpsA"/>
        <w:jc w:val="both"/>
      </w:pPr>
      <w:r w:rsidRPr="003D5BF5">
        <w:t xml:space="preserve">Les enjeux de ces nouvelles formes de pratiques informatiques bousculent profondément la manière dont les sociétés actuelles </w:t>
      </w:r>
      <w:r>
        <w:t xml:space="preserve">interagissent, </w:t>
      </w:r>
      <w:r w:rsidRPr="003D5BF5">
        <w:t xml:space="preserve">opèrent et font des affaires. </w:t>
      </w:r>
      <w:r>
        <w:t>Ainsi, le</w:t>
      </w:r>
      <w:r w:rsidRPr="003D5BF5">
        <w:t xml:space="preserve"> </w:t>
      </w:r>
      <w:proofErr w:type="spellStart"/>
      <w:r w:rsidRPr="003D5BF5">
        <w:t>Big</w:t>
      </w:r>
      <w:proofErr w:type="spellEnd"/>
      <w:r w:rsidRPr="003D5BF5">
        <w:t xml:space="preserve"> Data est </w:t>
      </w:r>
      <w:r>
        <w:t>une</w:t>
      </w:r>
      <w:r w:rsidRPr="003D5BF5">
        <w:t xml:space="preserve"> nouvelle réalité de l’économie numérique : c’est le nouveau territoire de développement et de création de valeur pour les entreprises, les administrations, les citoyens, les collectivités, etc. Les opportunités sont </w:t>
      </w:r>
      <w:r w:rsidR="003E4A29">
        <w:t>immenses</w:t>
      </w:r>
      <w:r w:rsidRPr="003D5BF5">
        <w:t xml:space="preserve"> et semblent infinies. C’est pourquoi il </w:t>
      </w:r>
      <w:r w:rsidR="003E4A29">
        <w:t xml:space="preserve">devient </w:t>
      </w:r>
      <w:r w:rsidRPr="003D5BF5">
        <w:t xml:space="preserve">nécessairement </w:t>
      </w:r>
      <w:r w:rsidR="003E4A29">
        <w:t>pour</w:t>
      </w:r>
      <w:r w:rsidRPr="003D5BF5">
        <w:t xml:space="preserve"> les organisations </w:t>
      </w:r>
      <w:r w:rsidR="003E4A29">
        <w:t xml:space="preserve">de </w:t>
      </w:r>
      <w:r w:rsidRPr="003D5BF5">
        <w:t>s’approprie</w:t>
      </w:r>
      <w:r w:rsidR="003E4A29">
        <w:t>r la data.</w:t>
      </w:r>
    </w:p>
    <w:p w:rsidR="0091531C" w:rsidRDefault="0091531C" w:rsidP="006210AD">
      <w:pPr>
        <w:pStyle w:val="CorpsA"/>
        <w:jc w:val="both"/>
      </w:pPr>
    </w:p>
    <w:p w:rsidR="001B5526" w:rsidRDefault="003E4A29" w:rsidP="001B5526">
      <w:pPr>
        <w:pStyle w:val="CorpsA"/>
        <w:jc w:val="both"/>
      </w:pPr>
      <w:r>
        <w:t>L’</w:t>
      </w:r>
      <w:r w:rsidR="003D5BF5">
        <w:t>analyse poussée de ces données</w:t>
      </w:r>
      <w:r>
        <w:t xml:space="preserve"> permet de dégager des</w:t>
      </w:r>
      <w:r w:rsidRPr="003E4A29">
        <w:t xml:space="preserve"> éléments d’information </w:t>
      </w:r>
      <w:r>
        <w:t xml:space="preserve">pouvant être utilisés comme outil décisionnel </w:t>
      </w:r>
      <w:r w:rsidR="003D5BF5">
        <w:t>au niveau national</w:t>
      </w:r>
      <w:r>
        <w:t xml:space="preserve"> (Togo)</w:t>
      </w:r>
      <w:r w:rsidR="003D5BF5">
        <w:t xml:space="preserve">, régional </w:t>
      </w:r>
      <w:r>
        <w:t xml:space="preserve">(Afrique de l’ouest) </w:t>
      </w:r>
      <w:r w:rsidR="003D5BF5">
        <w:t xml:space="preserve">et international </w:t>
      </w:r>
      <w:r>
        <w:t>afin d’atteindre l</w:t>
      </w:r>
      <w:r w:rsidR="003D5BF5">
        <w:t>es Objectifs de Développement Durable (ODD) tels que fixés par les Nations Unies à l'horizon 2030.</w:t>
      </w:r>
      <w:r w:rsidR="001B5526">
        <w:t xml:space="preserve"> </w:t>
      </w:r>
    </w:p>
    <w:p w:rsidR="001B5526" w:rsidRDefault="001B5526" w:rsidP="001B5526">
      <w:pPr>
        <w:pStyle w:val="CorpsA"/>
        <w:jc w:val="both"/>
      </w:pPr>
    </w:p>
    <w:p w:rsidR="003D5BF5" w:rsidRDefault="003D5BF5" w:rsidP="001B5526">
      <w:pPr>
        <w:pStyle w:val="CorpsA"/>
        <w:jc w:val="both"/>
      </w:pPr>
      <w:bookmarkStart w:id="0" w:name="_GoBack"/>
      <w:bookmarkEnd w:id="0"/>
      <w:r>
        <w:lastRenderedPageBreak/>
        <w:t>Le Togo en tant que pays membre de l’UIT, ne saurait se soustraire de cette démarche de l’Union, qu’il appui d’ailleurs très fortement.</w:t>
      </w:r>
    </w:p>
    <w:p w:rsidR="003E4A29" w:rsidRDefault="003E4A29" w:rsidP="003D5BF5">
      <w:pPr>
        <w:pStyle w:val="CorpsA"/>
        <w:jc w:val="both"/>
      </w:pPr>
    </w:p>
    <w:p w:rsidR="0091531C" w:rsidRDefault="0090286C" w:rsidP="003D5BF5">
      <w:pPr>
        <w:pStyle w:val="CorpsA"/>
        <w:jc w:val="both"/>
      </w:pPr>
      <w:r>
        <w:t xml:space="preserve">C’est pourquoi, le Ministère des Postes et de l’Economie Numérique œuvre notamment pour </w:t>
      </w:r>
      <w:r w:rsidR="00636506">
        <w:t>le rapprochement de l’administration et des administrés</w:t>
      </w:r>
      <w:r w:rsidR="00636506" w:rsidRPr="00636506">
        <w:t xml:space="preserve">, </w:t>
      </w:r>
      <w:r w:rsidR="00636506">
        <w:t>en mettant en place des solutions TIC au service des usagers comme</w:t>
      </w:r>
      <w:r w:rsidR="0091531C">
        <w:t xml:space="preserve"> : </w:t>
      </w:r>
    </w:p>
    <w:p w:rsidR="0091531C" w:rsidRDefault="00636506" w:rsidP="0091531C">
      <w:pPr>
        <w:pStyle w:val="CorpsA"/>
        <w:numPr>
          <w:ilvl w:val="0"/>
          <w:numId w:val="1"/>
        </w:numPr>
        <w:jc w:val="both"/>
      </w:pPr>
      <w:r>
        <w:t xml:space="preserve">la mise en ligne du site </w:t>
      </w:r>
      <w:hyperlink r:id="rId8" w:history="1">
        <w:r w:rsidRPr="00FB2443">
          <w:rPr>
            <w:rStyle w:val="Hyperlink"/>
          </w:rPr>
          <w:t>www.service-public.gouv.tg</w:t>
        </w:r>
      </w:hyperlink>
      <w:r>
        <w:t xml:space="preserve"> qui </w:t>
      </w:r>
      <w:r w:rsidR="0091531C">
        <w:t>informe l</w:t>
      </w:r>
      <w:r>
        <w:t xml:space="preserve">es citoyens </w:t>
      </w:r>
      <w:r w:rsidR="0091531C">
        <w:t xml:space="preserve">de </w:t>
      </w:r>
      <w:r>
        <w:t xml:space="preserve">l’ensemble des démarches administratives, </w:t>
      </w:r>
    </w:p>
    <w:p w:rsidR="00636506" w:rsidRDefault="00636506" w:rsidP="0091531C">
      <w:pPr>
        <w:pStyle w:val="CorpsA"/>
        <w:numPr>
          <w:ilvl w:val="0"/>
          <w:numId w:val="1"/>
        </w:numPr>
        <w:jc w:val="both"/>
      </w:pPr>
      <w:r>
        <w:t xml:space="preserve">le </w:t>
      </w:r>
      <w:hyperlink r:id="rId9" w:history="1">
        <w:r w:rsidRPr="0091531C">
          <w:rPr>
            <w:rStyle w:val="Hyperlink"/>
          </w:rPr>
          <w:t xml:space="preserve">dispositif </w:t>
        </w:r>
        <w:proofErr w:type="spellStart"/>
        <w:r w:rsidRPr="0091531C">
          <w:rPr>
            <w:rStyle w:val="Hyperlink"/>
          </w:rPr>
          <w:t>AgriPME</w:t>
        </w:r>
        <w:proofErr w:type="spellEnd"/>
      </w:hyperlink>
      <w:r>
        <w:t xml:space="preserve"> qui transforme le mobile des agriculteurs vulnérables en véritable porte-monnaie électronique pour le versement de subventions étatiques destinées à l’achat d’engrais </w:t>
      </w:r>
      <w:r w:rsidR="0091531C">
        <w:t xml:space="preserve">assurant ainsi leur recensement et identification pour la mise en place d’un système d’identification agricole, </w:t>
      </w:r>
    </w:p>
    <w:p w:rsidR="0091531C" w:rsidRDefault="0091531C" w:rsidP="0091531C">
      <w:pPr>
        <w:pStyle w:val="CorpsA"/>
        <w:numPr>
          <w:ilvl w:val="0"/>
          <w:numId w:val="1"/>
        </w:numPr>
        <w:jc w:val="both"/>
      </w:pPr>
      <w:r>
        <w:t xml:space="preserve">le </w:t>
      </w:r>
      <w:hyperlink r:id="rId10" w:history="1">
        <w:r w:rsidRPr="0091531C">
          <w:rPr>
            <w:rStyle w:val="Hyperlink"/>
          </w:rPr>
          <w:t>dispositif E-Village</w:t>
        </w:r>
      </w:hyperlink>
      <w:r>
        <w:t>, qui rapproche les localités (villages et cantons) de l’administration centrale pour la diffusion des messages d’information et d’alerte, et</w:t>
      </w:r>
    </w:p>
    <w:p w:rsidR="0091531C" w:rsidRDefault="0091531C" w:rsidP="0091531C">
      <w:pPr>
        <w:pStyle w:val="CorpsA"/>
        <w:numPr>
          <w:ilvl w:val="0"/>
          <w:numId w:val="1"/>
        </w:numPr>
        <w:jc w:val="both"/>
      </w:pPr>
      <w:r>
        <w:t xml:space="preserve">le </w:t>
      </w:r>
      <w:hyperlink r:id="rId11" w:history="1">
        <w:r w:rsidRPr="0091531C">
          <w:rPr>
            <w:rStyle w:val="Hyperlink"/>
          </w:rPr>
          <w:t>dispositif SOFIE</w:t>
        </w:r>
      </w:hyperlink>
      <w:r>
        <w:t xml:space="preserve">, qui </w:t>
      </w:r>
      <w:r w:rsidRPr="0091531C">
        <w:t>consiste en la mise en place d’une solution basée sur la téléphonie mobile pour signaler rapidement les pannes sur les ouvrages de forage d’eau, suivre et accélérer les réparations tout en appréciant l’efficacité des intervenants</w:t>
      </w:r>
      <w:r>
        <w:t>.</w:t>
      </w:r>
    </w:p>
    <w:p w:rsidR="00636506" w:rsidRDefault="00636506" w:rsidP="003D5BF5">
      <w:pPr>
        <w:pStyle w:val="CorpsA"/>
        <w:jc w:val="both"/>
      </w:pPr>
    </w:p>
    <w:p w:rsidR="00636506" w:rsidRDefault="0091531C" w:rsidP="003D5BF5">
      <w:pPr>
        <w:pStyle w:val="CorpsA"/>
        <w:jc w:val="both"/>
      </w:pPr>
      <w:r>
        <w:t xml:space="preserve">L’ensemble de ces solutions </w:t>
      </w:r>
      <w:r w:rsidR="00636506" w:rsidRPr="00636506">
        <w:t>génèrent d’importantes quantités de données qui peuvent s’avérer très utiles lors des prise</w:t>
      </w:r>
      <w:r>
        <w:t>s</w:t>
      </w:r>
      <w:r w:rsidR="00636506" w:rsidRPr="00636506">
        <w:t xml:space="preserve"> de décisions sur des questions d’orientation et/ou de réorientations, des stratégies et de politiques de développement dans tous les secteurs. </w:t>
      </w:r>
    </w:p>
    <w:p w:rsidR="00636506" w:rsidRDefault="00636506" w:rsidP="003D5BF5">
      <w:pPr>
        <w:pStyle w:val="CorpsA"/>
        <w:jc w:val="both"/>
      </w:pPr>
    </w:p>
    <w:p w:rsidR="0090286C" w:rsidRDefault="0091531C" w:rsidP="003D5BF5">
      <w:pPr>
        <w:pStyle w:val="CorpsA"/>
        <w:jc w:val="both"/>
      </w:pPr>
      <w:r>
        <w:t xml:space="preserve">En outre, le Ministère œuvre également à </w:t>
      </w:r>
      <w:r w:rsidR="0090286C">
        <w:t xml:space="preserve">la mise à disposition des </w:t>
      </w:r>
      <w:r w:rsidR="003D5BF5">
        <w:t xml:space="preserve">données publiques </w:t>
      </w:r>
      <w:r w:rsidR="0090286C">
        <w:t>également connues sous la dénomination</w:t>
      </w:r>
      <w:r w:rsidR="003D5BF5">
        <w:t xml:space="preserve"> </w:t>
      </w:r>
      <w:r w:rsidR="0090286C">
        <w:t>« </w:t>
      </w:r>
      <w:r w:rsidR="003D5BF5">
        <w:t>Open data</w:t>
      </w:r>
      <w:r w:rsidR="0090286C">
        <w:t xml:space="preserve"> » avec la mise en ligne d’un site web </w:t>
      </w:r>
      <w:hyperlink r:id="rId12" w:history="1">
        <w:r w:rsidR="0090286C" w:rsidRPr="00FB2443">
          <w:rPr>
            <w:rStyle w:val="Hyperlink"/>
          </w:rPr>
          <w:t>www.data.gouv.tg</w:t>
        </w:r>
      </w:hyperlink>
      <w:r w:rsidR="0090286C">
        <w:t xml:space="preserve"> et s’intéresse tout particulièrement à la cartographie des données du secteur</w:t>
      </w:r>
      <w:r w:rsidR="003D5BF5">
        <w:t xml:space="preserve">. </w:t>
      </w:r>
    </w:p>
    <w:p w:rsidR="0090286C" w:rsidRDefault="0090286C" w:rsidP="003D5BF5">
      <w:pPr>
        <w:pStyle w:val="CorpsA"/>
        <w:jc w:val="both"/>
      </w:pPr>
    </w:p>
    <w:p w:rsidR="003D5BF5" w:rsidRDefault="003D5BF5" w:rsidP="003D5BF5">
      <w:pPr>
        <w:pStyle w:val="CorpsA"/>
        <w:jc w:val="both"/>
      </w:pPr>
      <w:r>
        <w:t>D</w:t>
      </w:r>
      <w:r w:rsidR="0091531C">
        <w:t xml:space="preserve">e </w:t>
      </w:r>
      <w:r>
        <w:t>manière générale est considérée comme</w:t>
      </w:r>
      <w:r w:rsidR="0091531C">
        <w:t xml:space="preserve"> Open data,</w:t>
      </w:r>
      <w:r>
        <w:t xml:space="preserve"> une donnée qui peut être librement utilisé</w:t>
      </w:r>
      <w:r w:rsidR="0090286C">
        <w:t>e, réutilisée et redistribuée. Il s’agit d’</w:t>
      </w:r>
      <w:r>
        <w:t>une donnée numérique d'origine publique ou privée</w:t>
      </w:r>
      <w:r w:rsidR="0090286C">
        <w:t>,</w:t>
      </w:r>
      <w:r>
        <w:t xml:space="preserve"> notamment produite par une collectivité, un service public ou une entreprise. </w:t>
      </w:r>
      <w:r w:rsidR="0090286C">
        <w:t xml:space="preserve">Il est opportun de préciser que les données ouvertes ne concernent pas les données </w:t>
      </w:r>
      <w:r>
        <w:t>personnelles, c’est-à-dire les données qui ne contiennent pas d’information sur des individus en particulier.</w:t>
      </w:r>
      <w:r w:rsidR="0090286C">
        <w:t xml:space="preserve"> L’usage de ces dernières, doit être strictement encadré pour protéger les individus des différents abus et danger </w:t>
      </w:r>
      <w:r w:rsidR="00636506">
        <w:t>résultant</w:t>
      </w:r>
      <w:r w:rsidR="0090286C">
        <w:t xml:space="preserve"> du traitement </w:t>
      </w:r>
      <w:r w:rsidR="00636506">
        <w:t xml:space="preserve">des </w:t>
      </w:r>
      <w:proofErr w:type="spellStart"/>
      <w:r w:rsidR="00636506">
        <w:t>mégadonnées</w:t>
      </w:r>
      <w:proofErr w:type="spellEnd"/>
      <w:r w:rsidR="00636506">
        <w:t xml:space="preserve"> générées. Ainsi, le Ministère travaille également sur </w:t>
      </w:r>
      <w:hyperlink r:id="rId13" w:history="1">
        <w:r w:rsidR="00636506" w:rsidRPr="001B5526">
          <w:rPr>
            <w:rStyle w:val="Hyperlink"/>
          </w:rPr>
          <w:t>l’élaboration d’un projet de loi sur la protection des données à caractère personnel</w:t>
        </w:r>
      </w:hyperlink>
      <w:r w:rsidR="00636506">
        <w:t xml:space="preserve">. </w:t>
      </w:r>
    </w:p>
    <w:p w:rsidR="006210AD" w:rsidRDefault="006210AD" w:rsidP="006210AD">
      <w:pPr>
        <w:pStyle w:val="CorpsA"/>
        <w:jc w:val="both"/>
      </w:pPr>
    </w:p>
    <w:p w:rsidR="0090286C" w:rsidRDefault="00636506" w:rsidP="0090286C">
      <w:pPr>
        <w:pStyle w:val="CorpsA"/>
        <w:jc w:val="both"/>
      </w:pPr>
      <w:r>
        <w:t>Ainsi,</w:t>
      </w:r>
      <w:r w:rsidR="0090286C">
        <w:t xml:space="preserve"> le gouvernement Togolais, conscient de l’impact des TIC sur le développement, s’est engagé </w:t>
      </w:r>
      <w:r w:rsidR="0090286C" w:rsidRPr="003E4A29">
        <w:t xml:space="preserve">dans un processus de transformation numérique à travers des projets novateurs, qui, à terme, </w:t>
      </w:r>
      <w:r w:rsidR="0091531C">
        <w:t>permettront</w:t>
      </w:r>
      <w:r w:rsidR="0090286C" w:rsidRPr="003E4A29">
        <w:t xml:space="preserve"> d’</w:t>
      </w:r>
      <w:r w:rsidR="0090286C">
        <w:t>assurer</w:t>
      </w:r>
      <w:r w:rsidR="0090286C" w:rsidRPr="003E4A29">
        <w:t xml:space="preserve"> </w:t>
      </w:r>
      <w:r w:rsidR="0091531C">
        <w:t>une certaine</w:t>
      </w:r>
      <w:r w:rsidR="0090286C" w:rsidRPr="003E4A29">
        <w:t xml:space="preserve"> croissance économique, de renforcer le potentiel de son capital humain, de contribuer à la réduction des inégalités sociales </w:t>
      </w:r>
      <w:r w:rsidR="001B5526">
        <w:t xml:space="preserve">et </w:t>
      </w:r>
      <w:r w:rsidR="0090286C" w:rsidRPr="003E4A29">
        <w:t xml:space="preserve">d’offrir un meilleur cadre de vie à nos populations. </w:t>
      </w:r>
    </w:p>
    <w:p w:rsidR="00D1577F" w:rsidRDefault="00D1577F">
      <w:pPr>
        <w:pStyle w:val="CorpsA"/>
        <w:jc w:val="both"/>
        <w:rPr>
          <w:rFonts w:ascii="Times New Roman" w:eastAsia="Times New Roman" w:hAnsi="Times New Roman" w:cs="Times New Roman"/>
          <w:b/>
          <w:bCs/>
          <w:sz w:val="22"/>
          <w:szCs w:val="22"/>
        </w:rPr>
      </w:pPr>
    </w:p>
    <w:p w:rsidR="00D1577F" w:rsidRDefault="00D1577F">
      <w:pPr>
        <w:pStyle w:val="CorpsA"/>
        <w:jc w:val="both"/>
        <w:rPr>
          <w:b/>
          <w:bCs/>
          <w:sz w:val="22"/>
          <w:szCs w:val="22"/>
        </w:rPr>
      </w:pPr>
    </w:p>
    <w:p w:rsidR="00D1577F" w:rsidRDefault="00F71217">
      <w:pPr>
        <w:pStyle w:val="CorpsA"/>
        <w:jc w:val="both"/>
      </w:pPr>
      <w:r>
        <w:rPr>
          <w:rFonts w:ascii="Times New Roman"/>
          <w:b/>
          <w:bCs/>
        </w:rPr>
        <w:t>Charg</w:t>
      </w:r>
      <w:r>
        <w:rPr>
          <w:rFonts w:hAnsi="Times New Roman"/>
          <w:b/>
          <w:bCs/>
        </w:rPr>
        <w:t>é</w:t>
      </w:r>
      <w:r>
        <w:rPr>
          <w:rFonts w:ascii="Times New Roman"/>
          <w:b/>
          <w:bCs/>
        </w:rPr>
        <w:t>e de communication</w:t>
      </w:r>
      <w:r>
        <w:rPr>
          <w:rFonts w:ascii="Times New Roman"/>
        </w:rPr>
        <w:t xml:space="preserve"> : </w:t>
      </w:r>
      <w:proofErr w:type="spellStart"/>
      <w:r>
        <w:rPr>
          <w:rFonts w:ascii="Times New Roman"/>
        </w:rPr>
        <w:t>Delali</w:t>
      </w:r>
      <w:proofErr w:type="spellEnd"/>
      <w:r>
        <w:rPr>
          <w:rFonts w:ascii="Times New Roman"/>
        </w:rPr>
        <w:t xml:space="preserve"> </w:t>
      </w:r>
      <w:proofErr w:type="spellStart"/>
      <w:r>
        <w:rPr>
          <w:rFonts w:ascii="Times New Roman"/>
        </w:rPr>
        <w:t>Kudawoo</w:t>
      </w:r>
      <w:proofErr w:type="spellEnd"/>
      <w:r>
        <w:rPr>
          <w:rFonts w:hAnsi="Times New Roman"/>
        </w:rPr>
        <w:t> </w:t>
      </w:r>
      <w:r>
        <w:rPr>
          <w:rFonts w:ascii="Times New Roman"/>
        </w:rPr>
        <w:t xml:space="preserve">; delali.kudawoo@numerique.gouv.tg </w:t>
      </w:r>
    </w:p>
    <w:p w:rsidR="00D1577F" w:rsidRDefault="00D1577F">
      <w:pPr>
        <w:pStyle w:val="CorpsA"/>
        <w:jc w:val="both"/>
      </w:pPr>
    </w:p>
    <w:p w:rsidR="00D1577F" w:rsidRDefault="00F71217">
      <w:pPr>
        <w:pStyle w:val="CorpsA"/>
        <w:jc w:val="both"/>
      </w:pPr>
      <w:r>
        <w:rPr>
          <w:rFonts w:ascii="Times New Roman"/>
          <w:b/>
          <w:bCs/>
        </w:rPr>
        <w:t>Le Minist</w:t>
      </w:r>
      <w:r>
        <w:rPr>
          <w:rFonts w:hAnsi="Times New Roman"/>
          <w:b/>
          <w:bCs/>
        </w:rPr>
        <w:t>è</w:t>
      </w:r>
      <w:r>
        <w:rPr>
          <w:rFonts w:ascii="Times New Roman"/>
          <w:b/>
          <w:bCs/>
        </w:rPr>
        <w:t>re des Postes et de l</w:t>
      </w:r>
      <w:r>
        <w:rPr>
          <w:rFonts w:hAnsi="Times New Roman"/>
          <w:b/>
          <w:bCs/>
        </w:rPr>
        <w:t>’</w:t>
      </w:r>
      <w:r>
        <w:rPr>
          <w:rFonts w:ascii="Times New Roman"/>
          <w:b/>
          <w:bCs/>
          <w:lang w:val="de-DE"/>
        </w:rPr>
        <w:t>Economie Num</w:t>
      </w:r>
      <w:proofErr w:type="spellStart"/>
      <w:r>
        <w:rPr>
          <w:rFonts w:hAnsi="Times New Roman"/>
          <w:b/>
          <w:bCs/>
        </w:rPr>
        <w:t>é</w:t>
      </w:r>
      <w:r>
        <w:rPr>
          <w:rFonts w:ascii="Times New Roman"/>
          <w:b/>
          <w:bCs/>
        </w:rPr>
        <w:t>rique</w:t>
      </w:r>
      <w:proofErr w:type="spellEnd"/>
      <w:r>
        <w:rPr>
          <w:rFonts w:ascii="Times New Roman"/>
        </w:rPr>
        <w:t xml:space="preserve"> d</w:t>
      </w:r>
      <w:r>
        <w:rPr>
          <w:rFonts w:hAnsi="Times New Roman"/>
        </w:rPr>
        <w:t>é</w:t>
      </w:r>
      <w:r>
        <w:rPr>
          <w:rFonts w:ascii="Times New Roman"/>
        </w:rPr>
        <w:t xml:space="preserve">finit et coordonne la mise en </w:t>
      </w:r>
      <w:r>
        <w:rPr>
          <w:rFonts w:hAnsi="Times New Roman"/>
        </w:rPr>
        <w:t>œ</w:t>
      </w:r>
      <w:r>
        <w:rPr>
          <w:rFonts w:ascii="Times New Roman"/>
        </w:rPr>
        <w:t>uvre de la politique de l</w:t>
      </w:r>
      <w:r>
        <w:rPr>
          <w:rFonts w:hAnsi="Times New Roman"/>
        </w:rPr>
        <w:t>’</w:t>
      </w:r>
      <w:r>
        <w:rPr>
          <w:rFonts w:ascii="Times New Roman"/>
        </w:rPr>
        <w:t>Etat dans les domaines des postes et de l</w:t>
      </w:r>
      <w:r>
        <w:rPr>
          <w:rFonts w:hAnsi="Times New Roman"/>
        </w:rPr>
        <w:t>’é</w:t>
      </w:r>
      <w:r>
        <w:rPr>
          <w:rFonts w:ascii="Times New Roman"/>
        </w:rPr>
        <w:t>conomie num</w:t>
      </w:r>
      <w:r>
        <w:rPr>
          <w:rFonts w:hAnsi="Times New Roman"/>
        </w:rPr>
        <w:t>é</w:t>
      </w:r>
      <w:r>
        <w:rPr>
          <w:rFonts w:ascii="Times New Roman"/>
        </w:rPr>
        <w:t>riqu</w:t>
      </w:r>
      <w:r>
        <w:rPr>
          <w:rFonts w:ascii="Times New Roman"/>
        </w:rPr>
        <w:t>e. A ce titre, il traite des questions relatives au d</w:t>
      </w:r>
      <w:r>
        <w:rPr>
          <w:rFonts w:hAnsi="Times New Roman"/>
        </w:rPr>
        <w:t>é</w:t>
      </w:r>
      <w:r>
        <w:rPr>
          <w:rFonts w:ascii="Times New Roman"/>
        </w:rPr>
        <w:t xml:space="preserve">veloppement et </w:t>
      </w:r>
      <w:r>
        <w:rPr>
          <w:rFonts w:hAnsi="Times New Roman"/>
        </w:rPr>
        <w:t>à</w:t>
      </w:r>
      <w:r>
        <w:rPr>
          <w:rFonts w:ascii="Times New Roman"/>
        </w:rPr>
        <w:t xml:space="preserve"> la promotion des activit</w:t>
      </w:r>
      <w:r>
        <w:rPr>
          <w:rFonts w:hAnsi="Times New Roman"/>
        </w:rPr>
        <w:t>é</w:t>
      </w:r>
      <w:r>
        <w:rPr>
          <w:rFonts w:ascii="Times New Roman"/>
        </w:rPr>
        <w:t xml:space="preserve">s postales et </w:t>
      </w:r>
      <w:r>
        <w:rPr>
          <w:rFonts w:hAnsi="Times New Roman"/>
        </w:rPr>
        <w:t>œ</w:t>
      </w:r>
      <w:r>
        <w:rPr>
          <w:rFonts w:ascii="Times New Roman"/>
        </w:rPr>
        <w:t xml:space="preserve">uvre </w:t>
      </w:r>
      <w:r>
        <w:rPr>
          <w:rFonts w:hAnsi="Times New Roman"/>
        </w:rPr>
        <w:t>à</w:t>
      </w:r>
      <w:r>
        <w:rPr>
          <w:rFonts w:ascii="Times New Roman"/>
        </w:rPr>
        <w:t xml:space="preserve"> la promotion et </w:t>
      </w:r>
      <w:r>
        <w:rPr>
          <w:rFonts w:hAnsi="Times New Roman"/>
        </w:rPr>
        <w:t>à</w:t>
      </w:r>
      <w:r>
        <w:rPr>
          <w:rFonts w:ascii="Times New Roman"/>
        </w:rPr>
        <w:t xml:space="preserve"> la diffusion des technologies de l</w:t>
      </w:r>
      <w:r>
        <w:rPr>
          <w:rFonts w:hAnsi="Times New Roman"/>
        </w:rPr>
        <w:t>’</w:t>
      </w:r>
      <w:r>
        <w:rPr>
          <w:rFonts w:ascii="Times New Roman"/>
        </w:rPr>
        <w:t>information et de la communication (TIC) en vue de l</w:t>
      </w:r>
      <w:r>
        <w:rPr>
          <w:rFonts w:hAnsi="Times New Roman"/>
        </w:rPr>
        <w:t>’é</w:t>
      </w:r>
      <w:r>
        <w:rPr>
          <w:rFonts w:ascii="Times New Roman"/>
        </w:rPr>
        <w:t>mergence du secteur de l</w:t>
      </w:r>
      <w:r>
        <w:rPr>
          <w:rFonts w:hAnsi="Times New Roman"/>
        </w:rPr>
        <w:t>’é</w:t>
      </w:r>
      <w:r>
        <w:rPr>
          <w:rFonts w:ascii="Times New Roman"/>
        </w:rPr>
        <w:t>conomie num</w:t>
      </w:r>
      <w:r>
        <w:rPr>
          <w:rFonts w:hAnsi="Times New Roman"/>
        </w:rPr>
        <w:t>é</w:t>
      </w:r>
      <w:r>
        <w:rPr>
          <w:rFonts w:ascii="Times New Roman"/>
        </w:rPr>
        <w:t>rique.</w:t>
      </w:r>
    </w:p>
    <w:p w:rsidR="00D1577F" w:rsidRDefault="00D1577F">
      <w:pPr>
        <w:pStyle w:val="CorpsA"/>
        <w:jc w:val="both"/>
        <w:rPr>
          <w:sz w:val="22"/>
          <w:szCs w:val="22"/>
        </w:rPr>
      </w:pPr>
    </w:p>
    <w:p w:rsidR="00D1577F" w:rsidRDefault="00F71217">
      <w:pPr>
        <w:pStyle w:val="CorpsA"/>
        <w:jc w:val="both"/>
      </w:pPr>
      <w:r>
        <w:rPr>
          <w:rFonts w:ascii="Times New Roman"/>
        </w:rPr>
        <w:t xml:space="preserve">Depuis 2010, </w:t>
      </w:r>
      <w:proofErr w:type="spellStart"/>
      <w:r>
        <w:rPr>
          <w:rFonts w:ascii="Times New Roman"/>
        </w:rPr>
        <w:t>Cina</w:t>
      </w:r>
      <w:proofErr w:type="spellEnd"/>
      <w:r>
        <w:rPr>
          <w:rFonts w:ascii="Times New Roman"/>
        </w:rPr>
        <w:t xml:space="preserve"> Lawson occupe les fonctions de Ministre des Postes et de l</w:t>
      </w:r>
      <w:r>
        <w:rPr>
          <w:rFonts w:hAnsi="Times New Roman"/>
        </w:rPr>
        <w:t>’</w:t>
      </w:r>
      <w:r>
        <w:rPr>
          <w:rFonts w:ascii="Times New Roman"/>
          <w:lang w:val="de-DE"/>
        </w:rPr>
        <w:t>Economie Num</w:t>
      </w:r>
      <w:proofErr w:type="spellStart"/>
      <w:r>
        <w:rPr>
          <w:rFonts w:hAnsi="Times New Roman"/>
        </w:rPr>
        <w:t>é</w:t>
      </w:r>
      <w:r>
        <w:rPr>
          <w:rFonts w:ascii="Times New Roman"/>
        </w:rPr>
        <w:t>rique</w:t>
      </w:r>
      <w:proofErr w:type="spellEnd"/>
      <w:r>
        <w:rPr>
          <w:rFonts w:ascii="Times New Roman"/>
        </w:rPr>
        <w:t xml:space="preserve">. </w:t>
      </w:r>
    </w:p>
    <w:sectPr w:rsidR="00D1577F" w:rsidSect="001B5526">
      <w:headerReference w:type="default" r:id="rId14"/>
      <w:footerReference w:type="default" r:id="rId15"/>
      <w:headerReference w:type="first" r:id="rId16"/>
      <w:pgSz w:w="11900" w:h="16840"/>
      <w:pgMar w:top="426" w:right="1127" w:bottom="993" w:left="993" w:header="284" w:footer="2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17" w:rsidRDefault="00F71217">
      <w:r>
        <w:separator/>
      </w:r>
    </w:p>
  </w:endnote>
  <w:endnote w:type="continuationSeparator" w:id="0">
    <w:p w:rsidR="00F71217" w:rsidRDefault="00F7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2964"/>
      <w:docPartObj>
        <w:docPartGallery w:val="Page Numbers (Bottom of Page)"/>
        <w:docPartUnique/>
      </w:docPartObj>
    </w:sdtPr>
    <w:sdtContent>
      <w:sdt>
        <w:sdtPr>
          <w:id w:val="1701517299"/>
          <w:docPartObj>
            <w:docPartGallery w:val="Page Numbers (Top of Page)"/>
            <w:docPartUnique/>
          </w:docPartObj>
        </w:sdtPr>
        <w:sdtContent>
          <w:p w:rsidR="00636506" w:rsidRDefault="00636506">
            <w:pPr>
              <w:pStyle w:val="Footer"/>
              <w:jc w:val="right"/>
            </w:pPr>
            <w:r w:rsidRPr="00636506">
              <w:rPr>
                <w:bCs/>
              </w:rPr>
              <w:fldChar w:fldCharType="begin"/>
            </w:r>
            <w:r w:rsidRPr="00636506">
              <w:rPr>
                <w:bCs/>
              </w:rPr>
              <w:instrText xml:space="preserve"> PAGE </w:instrText>
            </w:r>
            <w:r w:rsidRPr="00636506">
              <w:rPr>
                <w:bCs/>
              </w:rPr>
              <w:fldChar w:fldCharType="separate"/>
            </w:r>
            <w:r w:rsidR="001B5526">
              <w:rPr>
                <w:bCs/>
                <w:noProof/>
              </w:rPr>
              <w:t>2</w:t>
            </w:r>
            <w:r w:rsidRPr="00636506">
              <w:rPr>
                <w:bCs/>
              </w:rPr>
              <w:fldChar w:fldCharType="end"/>
            </w:r>
            <w:r w:rsidRPr="00636506">
              <w:t xml:space="preserve"> / </w:t>
            </w:r>
            <w:r w:rsidRPr="00636506">
              <w:rPr>
                <w:bCs/>
              </w:rPr>
              <w:fldChar w:fldCharType="begin"/>
            </w:r>
            <w:r w:rsidRPr="00636506">
              <w:rPr>
                <w:bCs/>
              </w:rPr>
              <w:instrText xml:space="preserve"> NUMPAGES  </w:instrText>
            </w:r>
            <w:r w:rsidRPr="00636506">
              <w:rPr>
                <w:bCs/>
              </w:rPr>
              <w:fldChar w:fldCharType="separate"/>
            </w:r>
            <w:r w:rsidR="001B5526">
              <w:rPr>
                <w:bCs/>
                <w:noProof/>
              </w:rPr>
              <w:t>2</w:t>
            </w:r>
            <w:r w:rsidRPr="00636506">
              <w:rPr>
                <w:bCs/>
              </w:rPr>
              <w:fldChar w:fldCharType="end"/>
            </w:r>
          </w:p>
        </w:sdtContent>
      </w:sdt>
    </w:sdtContent>
  </w:sdt>
  <w:p w:rsidR="00636506" w:rsidRDefault="0063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17" w:rsidRDefault="00F71217">
      <w:r>
        <w:separator/>
      </w:r>
    </w:p>
  </w:footnote>
  <w:footnote w:type="continuationSeparator" w:id="0">
    <w:p w:rsidR="00F71217" w:rsidRDefault="00F7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7F" w:rsidRDefault="00D1577F">
    <w:pPr>
      <w:pStyle w:val="Header"/>
      <w:tabs>
        <w:tab w:val="clear" w:pos="4536"/>
        <w:tab w:val="clear" w:pos="9072"/>
        <w:tab w:val="left" w:pos="731"/>
        <w:tab w:val="center" w:pos="4533"/>
        <w:tab w:val="right" w:pos="9046"/>
      </w:tabs>
      <w:rPr>
        <w:rFonts w:ascii="Times New Roman"/>
        <w:b/>
        <w:bCs/>
        <w:color w:val="808080"/>
        <w:sz w:val="22"/>
        <w:szCs w:val="22"/>
        <w:u w:color="808080"/>
      </w:rPr>
    </w:pPr>
  </w:p>
  <w:p w:rsidR="00D1577F" w:rsidRDefault="00D1577F">
    <w:pPr>
      <w:pStyle w:val="Header"/>
      <w:tabs>
        <w:tab w:val="clear" w:pos="4536"/>
        <w:tab w:val="clear" w:pos="9072"/>
        <w:tab w:val="left" w:pos="731"/>
        <w:tab w:val="center" w:pos="4533"/>
        <w:tab w:val="right" w:pos="90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636506" w:rsidTr="00636506">
      <w:tc>
        <w:tcPr>
          <w:tcW w:w="3018" w:type="dxa"/>
          <w:vAlign w:val="center"/>
        </w:tcPr>
        <w:p w:rsidR="00636506" w:rsidRDefault="00636506" w:rsidP="00636506">
          <w:pPr>
            <w:pStyle w:val="Header"/>
            <w:pBdr>
              <w:top w:val="none" w:sz="0" w:space="0" w:color="auto"/>
              <w:left w:val="none" w:sz="0" w:space="0" w:color="auto"/>
              <w:bottom w:val="none" w:sz="0" w:space="0" w:color="auto"/>
              <w:right w:val="none" w:sz="0" w:space="0" w:color="auto"/>
              <w:between w:val="none" w:sz="0" w:space="0" w:color="auto"/>
              <w:bar w:val="none" w:sz="0" w:color="auto"/>
            </w:pBdr>
          </w:pPr>
          <w:r>
            <w:rPr>
              <w:rFonts w:ascii="Times New Roman"/>
              <w:b/>
              <w:bCs/>
              <w:color w:val="808080"/>
              <w:sz w:val="22"/>
              <w:szCs w:val="22"/>
              <w:u w:color="808080"/>
            </w:rPr>
            <w:t>Communiqu</w:t>
          </w:r>
          <w:r>
            <w:rPr>
              <w:rFonts w:hAnsi="Times New Roman"/>
              <w:b/>
              <w:bCs/>
              <w:color w:val="808080"/>
              <w:sz w:val="22"/>
              <w:szCs w:val="22"/>
              <w:u w:color="808080"/>
            </w:rPr>
            <w:t>é</w:t>
          </w:r>
          <w:r>
            <w:rPr>
              <w:b/>
              <w:bCs/>
              <w:color w:val="808080"/>
              <w:sz w:val="22"/>
              <w:szCs w:val="22"/>
              <w:u w:color="808080"/>
            </w:rPr>
            <w:t xml:space="preserve"> </w:t>
          </w:r>
          <w:r>
            <w:rPr>
              <w:rFonts w:ascii="Times New Roman"/>
              <w:b/>
              <w:bCs/>
              <w:color w:val="808080"/>
              <w:sz w:val="22"/>
              <w:szCs w:val="22"/>
              <w:u w:color="808080"/>
            </w:rPr>
            <w:t>de presse</w:t>
          </w:r>
        </w:p>
      </w:tc>
      <w:tc>
        <w:tcPr>
          <w:tcW w:w="3019" w:type="dxa"/>
        </w:tcPr>
        <w:p w:rsidR="00636506" w:rsidRDefault="00636506" w:rsidP="00636506">
          <w:pPr>
            <w:pStyle w:val="Header"/>
            <w:pBdr>
              <w:top w:val="none" w:sz="0" w:space="0" w:color="auto"/>
              <w:left w:val="none" w:sz="0" w:space="0" w:color="auto"/>
              <w:bottom w:val="none" w:sz="0" w:space="0" w:color="auto"/>
              <w:right w:val="none" w:sz="0" w:space="0" w:color="auto"/>
              <w:between w:val="none" w:sz="0" w:space="0" w:color="auto"/>
              <w:bar w:val="none" w:sz="0" w:color="auto"/>
            </w:pBdr>
            <w:jc w:val="center"/>
          </w:pPr>
          <w:r>
            <w:rPr>
              <w:noProof/>
            </w:rPr>
            <w:drawing>
              <wp:inline distT="0" distB="0" distL="0" distR="0" wp14:anchorId="35393F2D">
                <wp:extent cx="1134110" cy="1176655"/>
                <wp:effectExtent l="0" t="0" r="0" b="0"/>
                <wp:docPr id="1073741826" name="Picture 1073741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76655"/>
                        </a:xfrm>
                        <a:prstGeom prst="rect">
                          <a:avLst/>
                        </a:prstGeom>
                        <a:noFill/>
                      </pic:spPr>
                    </pic:pic>
                  </a:graphicData>
                </a:graphic>
              </wp:inline>
            </w:drawing>
          </w:r>
        </w:p>
      </w:tc>
      <w:tc>
        <w:tcPr>
          <w:tcW w:w="3019" w:type="dxa"/>
        </w:tcPr>
        <w:p w:rsidR="00636506" w:rsidRDefault="00636506">
          <w:pPr>
            <w:pStyle w:val="Header"/>
            <w:pBdr>
              <w:top w:val="none" w:sz="0" w:space="0" w:color="auto"/>
              <w:left w:val="none" w:sz="0" w:space="0" w:color="auto"/>
              <w:bottom w:val="none" w:sz="0" w:space="0" w:color="auto"/>
              <w:right w:val="none" w:sz="0" w:space="0" w:color="auto"/>
              <w:between w:val="none" w:sz="0" w:space="0" w:color="auto"/>
              <w:bar w:val="none" w:sz="0" w:color="auto"/>
            </w:pBdr>
          </w:pPr>
        </w:p>
      </w:tc>
    </w:tr>
  </w:tbl>
  <w:p w:rsidR="00636506" w:rsidRDefault="00636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064"/>
    <w:multiLevelType w:val="hybridMultilevel"/>
    <w:tmpl w:val="4A8E84EC"/>
    <w:lvl w:ilvl="0" w:tplc="5AE21E4A">
      <w:start w:val="2"/>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7F"/>
    <w:rsid w:val="001B5526"/>
    <w:rsid w:val="003D5BF5"/>
    <w:rsid w:val="003E4A29"/>
    <w:rsid w:val="006210AD"/>
    <w:rsid w:val="00636506"/>
    <w:rsid w:val="0090286C"/>
    <w:rsid w:val="0091531C"/>
    <w:rsid w:val="00D1577F"/>
    <w:rsid w:val="00F71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7BCAB-0533-402A-8342-B72323C6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eastAsia="Cambria" w:hAnsi="Cambria" w:cs="Cambria"/>
      <w:color w:val="000000"/>
      <w:sz w:val="24"/>
      <w:szCs w:val="24"/>
      <w:u w:color="000000"/>
    </w:rPr>
  </w:style>
  <w:style w:type="paragraph" w:customStyle="1" w:styleId="En-tte">
    <w:name w:val="En-tête"/>
    <w:pPr>
      <w:tabs>
        <w:tab w:val="right" w:pos="9020"/>
      </w:tabs>
    </w:pPr>
    <w:rPr>
      <w:rFonts w:ascii="Helvetica" w:eastAsia="Helvetica" w:hAnsi="Helvetica" w:cs="Helvetica"/>
      <w:color w:val="000000"/>
      <w:sz w:val="24"/>
      <w:szCs w:val="24"/>
    </w:rPr>
  </w:style>
  <w:style w:type="paragraph" w:customStyle="1" w:styleId="CorpsA">
    <w:name w:val="Corps 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636506"/>
    <w:pPr>
      <w:tabs>
        <w:tab w:val="center" w:pos="4536"/>
        <w:tab w:val="right" w:pos="9072"/>
      </w:tabs>
    </w:pPr>
  </w:style>
  <w:style w:type="character" w:customStyle="1" w:styleId="FooterChar">
    <w:name w:val="Footer Char"/>
    <w:basedOn w:val="DefaultParagraphFont"/>
    <w:link w:val="Footer"/>
    <w:uiPriority w:val="99"/>
    <w:rsid w:val="00636506"/>
    <w:rPr>
      <w:sz w:val="24"/>
      <w:szCs w:val="24"/>
      <w:lang w:val="en-US" w:eastAsia="en-US"/>
    </w:rPr>
  </w:style>
  <w:style w:type="table" w:styleId="TableGrid">
    <w:name w:val="Table Grid"/>
    <w:basedOn w:val="TableNormal"/>
    <w:uiPriority w:val="39"/>
    <w:rsid w:val="0063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rvice-public.gouv.tg" TargetMode="External"/><Relationship Id="rId13" Type="http://schemas.openxmlformats.org/officeDocument/2006/relationships/hyperlink" Target="http://numerique.gouv.tg/node/2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gouv.t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merique.gouv.tg/node/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umerique.gouv.tg/node/77" TargetMode="External"/><Relationship Id="rId4" Type="http://schemas.openxmlformats.org/officeDocument/2006/relationships/settings" Target="settings.xml"/><Relationship Id="rId9" Type="http://schemas.openxmlformats.org/officeDocument/2006/relationships/hyperlink" Target="http://numerique.gouv.tg/node/7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E565-CA18-4623-8AEA-2CE60A76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BRES</dc:creator>
  <cp:lastModifiedBy>Emilie BRES</cp:lastModifiedBy>
  <cp:revision>2</cp:revision>
  <dcterms:created xsi:type="dcterms:W3CDTF">2017-05-17T10:13:00Z</dcterms:created>
  <dcterms:modified xsi:type="dcterms:W3CDTF">2017-05-17T10:13:00Z</dcterms:modified>
</cp:coreProperties>
</file>